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E502" w14:textId="77777777" w:rsidR="00B960C0" w:rsidRDefault="00AD64F5">
      <w:pPr>
        <w:tabs>
          <w:tab w:val="center" w:pos="8349"/>
        </w:tabs>
        <w:spacing w:after="270"/>
        <w:ind w:left="-15"/>
      </w:pPr>
      <w:r>
        <w:rPr>
          <w:rFonts w:ascii="Arial" w:eastAsia="Arial" w:hAnsi="Arial" w:cs="Arial"/>
          <w:sz w:val="16"/>
        </w:rPr>
        <w:t>4/20/26, 6:36 PM</w:t>
      </w:r>
      <w:r>
        <w:rPr>
          <w:rFonts w:ascii="Arial" w:eastAsia="Arial" w:hAnsi="Arial" w:cs="Arial"/>
          <w:sz w:val="16"/>
        </w:rPr>
        <w:tab/>
        <w:t>Assignment Information</w:t>
      </w:r>
    </w:p>
    <w:p w14:paraId="75AF6FC4" w14:textId="77777777" w:rsidR="00B960C0" w:rsidRDefault="00AD64F5">
      <w:pPr>
        <w:spacing w:after="251"/>
        <w:ind w:left="1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003473" wp14:editId="11E8E9E3">
                <wp:simplePos x="0" y="0"/>
                <wp:positionH relativeFrom="column">
                  <wp:posOffset>57150</wp:posOffset>
                </wp:positionH>
                <wp:positionV relativeFrom="paragraph">
                  <wp:posOffset>-46097</wp:posOffset>
                </wp:positionV>
                <wp:extent cx="795937" cy="263742"/>
                <wp:effectExtent l="0" t="0" r="0" b="0"/>
                <wp:wrapNone/>
                <wp:docPr id="3840" name="Group 3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37" cy="263742"/>
                          <a:chOff x="0" y="0"/>
                          <a:chExt cx="795937" cy="263742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4710" y="4709"/>
                            <a:ext cx="791228" cy="25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228" h="254323">
                                <a:moveTo>
                                  <a:pt x="0" y="240194"/>
                                </a:moveTo>
                                <a:lnTo>
                                  <a:pt x="0" y="14129"/>
                                </a:lnTo>
                                <a:cubicBezTo>
                                  <a:pt x="0" y="12255"/>
                                  <a:pt x="359" y="10453"/>
                                  <a:pt x="1076" y="8722"/>
                                </a:cubicBezTo>
                                <a:cubicBezTo>
                                  <a:pt x="1793" y="6991"/>
                                  <a:pt x="2813" y="5463"/>
                                  <a:pt x="4138" y="4138"/>
                                </a:cubicBezTo>
                                <a:cubicBezTo>
                                  <a:pt x="5463" y="2813"/>
                                  <a:pt x="6991" y="1793"/>
                                  <a:pt x="8722" y="1076"/>
                                </a:cubicBezTo>
                                <a:cubicBezTo>
                                  <a:pt x="10453" y="359"/>
                                  <a:pt x="12255" y="0"/>
                                  <a:pt x="14129" y="0"/>
                                </a:cubicBezTo>
                                <a:lnTo>
                                  <a:pt x="777099" y="0"/>
                                </a:lnTo>
                                <a:cubicBezTo>
                                  <a:pt x="778972" y="0"/>
                                  <a:pt x="780775" y="359"/>
                                  <a:pt x="782506" y="1076"/>
                                </a:cubicBezTo>
                                <a:cubicBezTo>
                                  <a:pt x="784237" y="1793"/>
                                  <a:pt x="785765" y="2813"/>
                                  <a:pt x="787089" y="4138"/>
                                </a:cubicBezTo>
                                <a:cubicBezTo>
                                  <a:pt x="788414" y="5463"/>
                                  <a:pt x="789435" y="6991"/>
                                  <a:pt x="790152" y="8722"/>
                                </a:cubicBezTo>
                                <a:cubicBezTo>
                                  <a:pt x="790869" y="10453"/>
                                  <a:pt x="791228" y="12255"/>
                                  <a:pt x="791228" y="14129"/>
                                </a:cubicBezTo>
                                <a:lnTo>
                                  <a:pt x="791228" y="240194"/>
                                </a:lnTo>
                                <a:cubicBezTo>
                                  <a:pt x="791228" y="242068"/>
                                  <a:pt x="790869" y="243870"/>
                                  <a:pt x="790152" y="245601"/>
                                </a:cubicBezTo>
                                <a:cubicBezTo>
                                  <a:pt x="789435" y="247332"/>
                                  <a:pt x="788414" y="248860"/>
                                  <a:pt x="787089" y="250185"/>
                                </a:cubicBezTo>
                                <a:cubicBezTo>
                                  <a:pt x="785765" y="251510"/>
                                  <a:pt x="784237" y="252531"/>
                                  <a:pt x="782506" y="253248"/>
                                </a:cubicBezTo>
                                <a:cubicBezTo>
                                  <a:pt x="780775" y="253965"/>
                                  <a:pt x="778972" y="254323"/>
                                  <a:pt x="777099" y="254323"/>
                                </a:cubicBezTo>
                                <a:lnTo>
                                  <a:pt x="14129" y="254323"/>
                                </a:lnTo>
                                <a:cubicBezTo>
                                  <a:pt x="12255" y="254323"/>
                                  <a:pt x="10453" y="253965"/>
                                  <a:pt x="8722" y="253248"/>
                                </a:cubicBezTo>
                                <a:cubicBezTo>
                                  <a:pt x="6991" y="252531"/>
                                  <a:pt x="5463" y="251510"/>
                                  <a:pt x="4138" y="250185"/>
                                </a:cubicBezTo>
                                <a:cubicBezTo>
                                  <a:pt x="2813" y="248860"/>
                                  <a:pt x="1793" y="247332"/>
                                  <a:pt x="1076" y="245601"/>
                                </a:cubicBezTo>
                                <a:cubicBezTo>
                                  <a:pt x="359" y="243870"/>
                                  <a:pt x="0" y="242068"/>
                                  <a:pt x="0" y="240194"/>
                                </a:cubicBezTo>
                                <a:close/>
                              </a:path>
                            </a:pathLst>
                          </a:custGeom>
                          <a:ln w="9419" cap="flat">
                            <a:miter lim="100000"/>
                          </a:ln>
                        </wps:spPr>
                        <wps:style>
                          <a:lnRef idx="1">
                            <a:srgbClr val="6770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433291" y="9419"/>
                            <a:ext cx="9419" cy="24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9" h="244904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  <a:lnTo>
                                  <a:pt x="9419" y="244904"/>
                                </a:lnTo>
                                <a:lnTo>
                                  <a:pt x="0" y="244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70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0" y="0"/>
                            <a:ext cx="282581" cy="263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1" h="263742">
                                <a:moveTo>
                                  <a:pt x="0" y="0"/>
                                </a:moveTo>
                                <a:lnTo>
                                  <a:pt x="282581" y="0"/>
                                </a:lnTo>
                                <a:lnTo>
                                  <a:pt x="282581" y="263742"/>
                                </a:lnTo>
                                <a:lnTo>
                                  <a:pt x="0" y="2637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0" style="width:62.6722pt;height:20.7671pt;position:absolute;z-index:-2147483456;mso-position-horizontal-relative:text;mso-position-horizontal:absolute;margin-left:4.5pt;mso-position-vertical-relative:text;margin-top:-3.6298pt;" coordsize="7959,2637">
                <v:shape id="Shape 211" style="position:absolute;width:7912;height:2543;left:47;top:47;" coordsize="791228,254323" path="m0,240194l0,14129c0,12255,359,10453,1076,8722c1793,6991,2813,5463,4138,4138c5463,2813,6991,1793,8722,1076c10453,359,12255,0,14129,0l777099,0c778972,0,780775,359,782506,1076c784237,1793,785765,2813,787089,4138c788414,5463,789435,6991,790152,8722c790869,10453,791228,12255,791228,14129l791228,240194c791228,242068,790869,243870,790152,245601c789435,247332,788414,248860,787089,250185c785765,251510,784237,252531,782506,253248c780775,253965,778972,254323,777099,254323l14129,254323c12255,254323,10453,253965,8722,253248c6991,252531,5463,251510,4138,250185c2813,248860,1793,247332,1076,245601c359,243870,0,242068,0,240194x">
                  <v:stroke weight="0.741683pt" endcap="flat" joinstyle="miter" miterlimit="4" on="true" color="#677077"/>
                  <v:fill on="false" color="#000000" opacity="0"/>
                </v:shape>
                <v:shape id="Shape 4081" style="position:absolute;width:94;height:2449;left:4332;top:94;" coordsize="9419,244904" path="m0,0l9419,0l9419,244904l0,244904l0,0">
                  <v:stroke weight="0pt" endcap="flat" joinstyle="miter" miterlimit="4" on="false" color="#000000" opacity="0"/>
                  <v:fill on="true" color="#677077"/>
                </v:shape>
                <v:shape id="Shape 4082" style="position:absolute;width:2825;height:2637;left:0;top:0;" coordsize="282581,263742" path="m0,0l282581,0l282581,263742l0,263742l0,0">
                  <v:stroke weight="0pt" endcap="flat" joinstyle="miter" miterlimit="4" on="false" color="#000000" opacity="0"/>
                  <v:fill on="true" color="#ffffff"/>
                </v:shape>
              </v:group>
            </w:pict>
          </mc:Fallback>
        </mc:AlternateContent>
      </w:r>
      <w:hyperlink r:id="rId4">
        <w:r>
          <w:rPr>
            <w:color w:val="333333"/>
            <w:sz w:val="29"/>
            <w:bdr w:val="single" w:sz="12" w:space="0" w:color="677077"/>
          </w:rPr>
          <w:t></w:t>
        </w:r>
      </w:hyperlink>
      <w:r>
        <w:rPr>
          <w:color w:val="333333"/>
          <w:sz w:val="29"/>
          <w:bdr w:val="single" w:sz="12" w:space="0" w:color="677077"/>
        </w:rPr>
        <w:t xml:space="preserve"> </w:t>
      </w:r>
      <w:hyperlink r:id="rId5">
        <w:r>
          <w:rPr>
            <w:color w:val="288144"/>
            <w:sz w:val="25"/>
          </w:rPr>
          <w:t></w:t>
        </w:r>
      </w:hyperlink>
    </w:p>
    <w:p w14:paraId="665F9D93" w14:textId="77777777" w:rsidR="00B960C0" w:rsidRDefault="00AD64F5">
      <w:pPr>
        <w:spacing w:after="212"/>
        <w:ind w:left="90"/>
      </w:pPr>
      <w:r>
        <w:rPr>
          <w:color w:val="22376B"/>
          <w:sz w:val="27"/>
        </w:rPr>
        <w:t>HIS 319 Short Paper Guidelines and Rubric</w:t>
      </w:r>
    </w:p>
    <w:p w14:paraId="7D2CF57A" w14:textId="77777777" w:rsidR="00B960C0" w:rsidRDefault="00AD64F5">
      <w:pPr>
        <w:spacing w:after="108"/>
        <w:ind w:left="85" w:hanging="10"/>
      </w:pPr>
      <w:r>
        <w:rPr>
          <w:color w:val="262626"/>
          <w:sz w:val="27"/>
        </w:rPr>
        <w:t>What to Submit</w:t>
      </w:r>
    </w:p>
    <w:p w14:paraId="40D24ACC" w14:textId="77777777" w:rsidR="00B960C0" w:rsidRDefault="00AD64F5">
      <w:pPr>
        <w:spacing w:after="121" w:line="393" w:lineRule="auto"/>
        <w:ind w:left="85" w:hanging="10"/>
      </w:pPr>
      <w:r>
        <w:rPr>
          <w:color w:val="565A5C"/>
          <w:sz w:val="18"/>
        </w:rPr>
        <w:t>Short paper assignments must follow these formatting guidelines: double spacing, 12-point Times New Roman font, one-inch margins, and Turabian citations. Page length requirements: 2-3 pages.</w:t>
      </w:r>
    </w:p>
    <w:p w14:paraId="5E8C4927" w14:textId="77777777" w:rsidR="00B960C0" w:rsidRDefault="00AD64F5">
      <w:pPr>
        <w:spacing w:after="108"/>
        <w:ind w:left="85" w:hanging="10"/>
      </w:pPr>
      <w:r>
        <w:rPr>
          <w:color w:val="262626"/>
          <w:sz w:val="27"/>
        </w:rPr>
        <w:t>AI Usage</w:t>
      </w:r>
    </w:p>
    <w:p w14:paraId="46DF3D3A" w14:textId="77777777" w:rsidR="00B960C0" w:rsidRDefault="00AD64F5">
      <w:pPr>
        <w:spacing w:after="121"/>
        <w:ind w:left="85" w:hanging="10"/>
      </w:pPr>
      <w:r>
        <w:rPr>
          <w:color w:val="565A5C"/>
          <w:sz w:val="18"/>
        </w:rPr>
        <w:t xml:space="preserve">If you use gen AI tools to support your work on this assignment, be sure to follow </w:t>
      </w:r>
      <w:hyperlink r:id="rId6">
        <w:r>
          <w:rPr>
            <w:color w:val="006FBF"/>
            <w:sz w:val="18"/>
            <w:u w:val="single" w:color="006FBF"/>
          </w:rPr>
          <w:t>these AI usa</w:t>
        </w:r>
      </w:hyperlink>
      <w:hyperlink r:id="rId7">
        <w:r>
          <w:rPr>
            <w:color w:val="006FBF"/>
            <w:sz w:val="18"/>
          </w:rPr>
          <w:t>g</w:t>
        </w:r>
      </w:hyperlink>
      <w:hyperlink r:id="rId8">
        <w:r>
          <w:rPr>
            <w:color w:val="006FBF"/>
            <w:sz w:val="18"/>
            <w:u w:val="single" w:color="006FBF"/>
          </w:rPr>
          <w:t xml:space="preserve">e </w:t>
        </w:r>
      </w:hyperlink>
      <w:hyperlink r:id="rId9">
        <w:r>
          <w:rPr>
            <w:color w:val="006FBF"/>
            <w:sz w:val="18"/>
          </w:rPr>
          <w:t>g</w:t>
        </w:r>
      </w:hyperlink>
      <w:hyperlink r:id="rId10">
        <w:r>
          <w:rPr>
            <w:color w:val="006FBF"/>
            <w:sz w:val="18"/>
            <w:u w:val="single" w:color="006FBF"/>
          </w:rPr>
          <w:t>uidelines</w:t>
        </w:r>
      </w:hyperlink>
      <w:r>
        <w:rPr>
          <w:color w:val="565A5C"/>
          <w:sz w:val="18"/>
        </w:rPr>
        <w:t>. You must acknowledge your use of these tools in your work. Guidelines on how</w:t>
      </w:r>
    </w:p>
    <w:p w14:paraId="7D3CAEA9" w14:textId="77777777" w:rsidR="00B960C0" w:rsidRDefault="00AD64F5">
      <w:pPr>
        <w:spacing w:after="255"/>
        <w:ind w:left="85" w:hanging="10"/>
      </w:pPr>
      <w:r>
        <w:rPr>
          <w:color w:val="565A5C"/>
          <w:sz w:val="18"/>
        </w:rPr>
        <w:t xml:space="preserve">to cite AI tools can be found in </w:t>
      </w:r>
      <w:hyperlink r:id="rId11">
        <w:r>
          <w:rPr>
            <w:color w:val="006FBF"/>
            <w:sz w:val="18"/>
            <w:u w:val="single" w:color="006FBF"/>
          </w:rPr>
          <w:t xml:space="preserve">this Shapiro Library </w:t>
        </w:r>
      </w:hyperlink>
      <w:hyperlink r:id="rId12">
        <w:r>
          <w:rPr>
            <w:color w:val="006FBF"/>
            <w:sz w:val="18"/>
          </w:rPr>
          <w:t>g</w:t>
        </w:r>
      </w:hyperlink>
      <w:hyperlink r:id="rId13">
        <w:r>
          <w:rPr>
            <w:color w:val="006FBF"/>
            <w:sz w:val="18"/>
            <w:u w:val="single" w:color="006FBF"/>
          </w:rPr>
          <w:t>uide</w:t>
        </w:r>
      </w:hyperlink>
      <w:hyperlink r:id="rId14">
        <w:r>
          <w:rPr>
            <w:color w:val="565A5C"/>
            <w:sz w:val="18"/>
          </w:rPr>
          <w:t>.</w:t>
        </w:r>
      </w:hyperlink>
    </w:p>
    <w:p w14:paraId="1C058C5F" w14:textId="77777777" w:rsidR="00B960C0" w:rsidRDefault="00AD64F5">
      <w:pPr>
        <w:pStyle w:val="Heading1"/>
        <w:spacing w:after="0"/>
        <w:ind w:left="12"/>
      </w:pPr>
      <w:r>
        <w:t>Short Paper Rubric</w:t>
      </w:r>
    </w:p>
    <w:tbl>
      <w:tblPr>
        <w:tblStyle w:val="TableGrid"/>
        <w:tblW w:w="14696" w:type="dxa"/>
        <w:tblInd w:w="97" w:type="dxa"/>
        <w:tblCellMar>
          <w:top w:w="161" w:type="dxa"/>
          <w:left w:w="112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2491"/>
        <w:gridCol w:w="2685"/>
        <w:gridCol w:w="2685"/>
        <w:gridCol w:w="2685"/>
        <w:gridCol w:w="2685"/>
        <w:gridCol w:w="1465"/>
      </w:tblGrid>
      <w:tr w:rsidR="00B960C0" w14:paraId="757F3040" w14:textId="77777777">
        <w:trPr>
          <w:trHeight w:val="757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DF79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t>Criteria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7D8F6" w14:textId="77777777" w:rsidR="00B960C0" w:rsidRDefault="00AD64F5">
            <w:pPr>
              <w:spacing w:after="0"/>
              <w:ind w:left="14"/>
              <w:jc w:val="center"/>
            </w:pPr>
            <w:r>
              <w:rPr>
                <w:b/>
                <w:color w:val="565A5C"/>
                <w:sz w:val="18"/>
              </w:rPr>
              <w:t>Exceeds Expectations (100%)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B0B17" w14:textId="77777777" w:rsidR="00B960C0" w:rsidRDefault="00AD64F5">
            <w:pPr>
              <w:spacing w:after="0"/>
              <w:ind w:left="10"/>
              <w:jc w:val="center"/>
            </w:pPr>
            <w:r>
              <w:rPr>
                <w:b/>
                <w:color w:val="565A5C"/>
                <w:sz w:val="18"/>
              </w:rPr>
              <w:t>Meets Expectations (85%)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5444" w14:textId="77777777" w:rsidR="00B960C0" w:rsidRDefault="00AD64F5">
            <w:pPr>
              <w:spacing w:after="32"/>
              <w:ind w:left="6"/>
              <w:jc w:val="center"/>
            </w:pPr>
            <w:r>
              <w:rPr>
                <w:b/>
                <w:color w:val="565A5C"/>
                <w:sz w:val="18"/>
              </w:rPr>
              <w:t>Partially Meets Expectations</w:t>
            </w:r>
          </w:p>
          <w:p w14:paraId="354E7631" w14:textId="77777777" w:rsidR="00B960C0" w:rsidRDefault="00AD64F5">
            <w:pPr>
              <w:spacing w:after="0"/>
              <w:ind w:left="6"/>
              <w:jc w:val="center"/>
            </w:pPr>
            <w:r>
              <w:rPr>
                <w:b/>
                <w:color w:val="565A5C"/>
                <w:sz w:val="18"/>
              </w:rPr>
              <w:t>(55%)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90634" w14:textId="77777777" w:rsidR="00B960C0" w:rsidRDefault="00AD64F5">
            <w:pPr>
              <w:spacing w:after="32"/>
              <w:ind w:left="1"/>
              <w:jc w:val="center"/>
            </w:pPr>
            <w:r>
              <w:rPr>
                <w:b/>
                <w:color w:val="565A5C"/>
                <w:sz w:val="18"/>
              </w:rPr>
              <w:t>Does Not Meet Expectations</w:t>
            </w:r>
          </w:p>
          <w:p w14:paraId="410FA88C" w14:textId="77777777" w:rsidR="00B960C0" w:rsidRDefault="00AD64F5">
            <w:pPr>
              <w:spacing w:after="0"/>
              <w:ind w:left="2"/>
              <w:jc w:val="center"/>
            </w:pPr>
            <w:r>
              <w:rPr>
                <w:b/>
                <w:color w:val="565A5C"/>
                <w:sz w:val="18"/>
              </w:rPr>
              <w:t>(0%)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0C1CA6B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b/>
                <w:color w:val="565A5C"/>
                <w:sz w:val="18"/>
              </w:rPr>
              <w:t>Value</w:t>
            </w:r>
          </w:p>
        </w:tc>
      </w:tr>
      <w:tr w:rsidR="00B960C0" w14:paraId="0143D53D" w14:textId="77777777">
        <w:trPr>
          <w:trHeight w:val="1291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0F19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t>Main Elements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EF1B2" w14:textId="77777777" w:rsidR="00B960C0" w:rsidRDefault="00AD64F5">
            <w:pPr>
              <w:spacing w:after="0"/>
              <w:ind w:left="6"/>
            </w:pPr>
            <w:r>
              <w:rPr>
                <w:color w:val="565A5C"/>
                <w:sz w:val="18"/>
              </w:rPr>
              <w:t>Includes all of the main elements and requirements and cites multiple examples to illustrate each element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B1BAC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Includes most of the main elements and requirements and cites many examples to illustrate each element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5F71" w14:textId="77777777" w:rsidR="00B960C0" w:rsidRDefault="00AD64F5">
            <w:pPr>
              <w:spacing w:after="0"/>
              <w:ind w:left="2"/>
            </w:pPr>
            <w:r>
              <w:rPr>
                <w:color w:val="565A5C"/>
                <w:sz w:val="18"/>
              </w:rPr>
              <w:t>Includes some of the main elements and requirements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303E" w14:textId="77777777" w:rsidR="00B960C0" w:rsidRDefault="00AD64F5">
            <w:pPr>
              <w:spacing w:after="0"/>
            </w:pPr>
            <w:r>
              <w:rPr>
                <w:color w:val="565A5C"/>
                <w:sz w:val="18"/>
              </w:rPr>
              <w:t>Does not include any of the main elements and requirements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0D228B3A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color w:val="565A5C"/>
                <w:sz w:val="18"/>
              </w:rPr>
              <w:t>25</w:t>
            </w:r>
          </w:p>
        </w:tc>
      </w:tr>
      <w:tr w:rsidR="00B960C0" w14:paraId="127A9AA8" w14:textId="77777777">
        <w:trPr>
          <w:trHeight w:val="1291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3C3C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t>Inquiry and Analysis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B90AE" w14:textId="77777777" w:rsidR="00B960C0" w:rsidRDefault="00AD64F5">
            <w:pPr>
              <w:spacing w:after="0"/>
              <w:ind w:left="6"/>
            </w:pPr>
            <w:r>
              <w:rPr>
                <w:color w:val="565A5C"/>
                <w:sz w:val="18"/>
              </w:rPr>
              <w:t>Provides in-depth analysis that demonstrates complete understanding of multiple concepts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421C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Provides in-depth analysis that demonstrates complete understanding of some concepts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6F4AA" w14:textId="77777777" w:rsidR="00B960C0" w:rsidRDefault="00AD64F5">
            <w:pPr>
              <w:spacing w:after="0"/>
              <w:ind w:left="2"/>
            </w:pPr>
            <w:r>
              <w:rPr>
                <w:color w:val="565A5C"/>
                <w:sz w:val="18"/>
              </w:rPr>
              <w:t>Provides in-depth analysis that demonstrates complete understanding of minimal concepts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00B4" w14:textId="77777777" w:rsidR="00B960C0" w:rsidRDefault="00AD64F5">
            <w:pPr>
              <w:spacing w:after="0"/>
            </w:pPr>
            <w:r>
              <w:rPr>
                <w:color w:val="565A5C"/>
                <w:sz w:val="18"/>
              </w:rPr>
              <w:t>Does not provide in-depth analysis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21D8BA95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color w:val="565A5C"/>
                <w:sz w:val="18"/>
              </w:rPr>
              <w:t>20</w:t>
            </w:r>
          </w:p>
        </w:tc>
      </w:tr>
      <w:tr w:rsidR="00B960C0" w14:paraId="6EC1110B" w14:textId="77777777">
        <w:trPr>
          <w:trHeight w:val="757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DF2C" w14:textId="77777777" w:rsidR="00B960C0" w:rsidRDefault="00AD64F5">
            <w:pPr>
              <w:spacing w:after="0"/>
              <w:ind w:left="58"/>
            </w:pPr>
            <w:r>
              <w:rPr>
                <w:b/>
                <w:color w:val="565A5C"/>
                <w:sz w:val="18"/>
              </w:rPr>
              <w:t>Integration and Application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610C" w14:textId="77777777" w:rsidR="00B960C0" w:rsidRDefault="00AD64F5">
            <w:pPr>
              <w:spacing w:after="0"/>
              <w:ind w:left="6"/>
              <w:jc w:val="both"/>
            </w:pPr>
            <w:r>
              <w:rPr>
                <w:color w:val="565A5C"/>
                <w:sz w:val="18"/>
              </w:rPr>
              <w:t>All of the course concepts are correctly applied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0B678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Most of the course concepts are correctly applied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4DA67" w14:textId="77777777" w:rsidR="00B960C0" w:rsidRDefault="00AD64F5">
            <w:pPr>
              <w:spacing w:after="0"/>
              <w:ind w:left="2"/>
            </w:pPr>
            <w:r>
              <w:rPr>
                <w:color w:val="565A5C"/>
                <w:sz w:val="18"/>
              </w:rPr>
              <w:t>Some of the course concepts are correctly applied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BA631" w14:textId="77777777" w:rsidR="00B960C0" w:rsidRDefault="00AD64F5">
            <w:pPr>
              <w:spacing w:after="0"/>
              <w:jc w:val="both"/>
            </w:pPr>
            <w:r>
              <w:rPr>
                <w:color w:val="565A5C"/>
                <w:sz w:val="18"/>
              </w:rPr>
              <w:t>Does not correctly apply any of the course concepts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23437A8C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color w:val="565A5C"/>
                <w:sz w:val="18"/>
              </w:rPr>
              <w:t>10</w:t>
            </w:r>
          </w:p>
        </w:tc>
      </w:tr>
      <w:tr w:rsidR="00B960C0" w14:paraId="218E7A97" w14:textId="77777777">
        <w:trPr>
          <w:trHeight w:val="1024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B812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t>Critical Thinking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D8C17" w14:textId="77777777" w:rsidR="00B960C0" w:rsidRDefault="00AD64F5">
            <w:pPr>
              <w:spacing w:after="0"/>
              <w:ind w:left="6"/>
            </w:pPr>
            <w:r>
              <w:rPr>
                <w:color w:val="565A5C"/>
                <w:sz w:val="18"/>
              </w:rPr>
              <w:t>Draws insightful conclusions that are thoroughly defended with evidence and examples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42A70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Draws informed conclusions that are justified with evidence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13F5" w14:textId="77777777" w:rsidR="00B960C0" w:rsidRDefault="00AD64F5">
            <w:pPr>
              <w:spacing w:after="0"/>
              <w:ind w:left="2"/>
            </w:pPr>
            <w:r>
              <w:rPr>
                <w:color w:val="565A5C"/>
                <w:sz w:val="18"/>
              </w:rPr>
              <w:t>Draws logical conclusions, but does not defend with evidence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6EDA" w14:textId="77777777" w:rsidR="00B960C0" w:rsidRDefault="00AD64F5">
            <w:pPr>
              <w:spacing w:after="0"/>
            </w:pPr>
            <w:r>
              <w:rPr>
                <w:color w:val="565A5C"/>
                <w:sz w:val="18"/>
              </w:rPr>
              <w:t>Does not draw logical conclusions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42A07AA9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color w:val="565A5C"/>
                <w:sz w:val="18"/>
              </w:rPr>
              <w:t>20</w:t>
            </w:r>
          </w:p>
        </w:tc>
      </w:tr>
      <w:tr w:rsidR="00B960C0" w14:paraId="26B91777" w14:textId="77777777">
        <w:trPr>
          <w:trHeight w:val="1291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BA7C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lastRenderedPageBreak/>
              <w:t>Research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C19C3" w14:textId="77777777" w:rsidR="00B960C0" w:rsidRDefault="00AD64F5">
            <w:pPr>
              <w:spacing w:after="0"/>
              <w:ind w:left="6"/>
            </w:pPr>
            <w:r>
              <w:rPr>
                <w:color w:val="565A5C"/>
                <w:sz w:val="18"/>
              </w:rPr>
              <w:t>Incorporates many scholarly resources effectively that reflect depth and breadth of research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52B47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Incorporates some scholarly resources effectively that reflect depth and breadth of research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09AC" w14:textId="77777777" w:rsidR="00B960C0" w:rsidRDefault="00AD64F5">
            <w:pPr>
              <w:spacing w:after="0"/>
              <w:ind w:left="2" w:right="24"/>
              <w:jc w:val="both"/>
            </w:pPr>
            <w:r>
              <w:rPr>
                <w:color w:val="565A5C"/>
                <w:sz w:val="18"/>
              </w:rPr>
              <w:t>Incorporates very few scholarly resources that reflect depth and breadth of research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053F" w14:textId="77777777" w:rsidR="00B960C0" w:rsidRDefault="00AD64F5">
            <w:pPr>
              <w:spacing w:after="0"/>
              <w:ind w:right="14"/>
            </w:pPr>
            <w:r>
              <w:rPr>
                <w:color w:val="565A5C"/>
                <w:sz w:val="18"/>
              </w:rPr>
              <w:t>Does not incorporate scholarly resources that reflect depth and breadth of research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588FFBBB" w14:textId="77777777" w:rsidR="00B960C0" w:rsidRDefault="00AD64F5">
            <w:pPr>
              <w:spacing w:after="0"/>
              <w:ind w:left="5"/>
              <w:jc w:val="center"/>
            </w:pPr>
            <w:r>
              <w:rPr>
                <w:color w:val="565A5C"/>
                <w:sz w:val="18"/>
              </w:rPr>
              <w:t>15</w:t>
            </w:r>
          </w:p>
        </w:tc>
      </w:tr>
    </w:tbl>
    <w:p w14:paraId="25C6049A" w14:textId="77777777" w:rsidR="00B960C0" w:rsidRDefault="00AD64F5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https://learn.snhu.edu/d2l/le/content/2263327/fullscreen/50094543/View</w:t>
      </w:r>
      <w:r>
        <w:rPr>
          <w:rFonts w:ascii="Arial" w:eastAsia="Arial" w:hAnsi="Arial" w:cs="Arial"/>
          <w:sz w:val="16"/>
        </w:rPr>
        <w:tab/>
        <w:t>1/2 4/20/26, 6:36 PM</w:t>
      </w:r>
      <w:r>
        <w:rPr>
          <w:rFonts w:ascii="Arial" w:eastAsia="Arial" w:hAnsi="Arial" w:cs="Arial"/>
          <w:sz w:val="16"/>
        </w:rPr>
        <w:tab/>
        <w:t>Assignment Information</w:t>
      </w:r>
    </w:p>
    <w:tbl>
      <w:tblPr>
        <w:tblStyle w:val="TableGrid"/>
        <w:tblW w:w="14696" w:type="dxa"/>
        <w:tblInd w:w="97" w:type="dxa"/>
        <w:tblCellMar>
          <w:top w:w="161" w:type="dxa"/>
          <w:left w:w="112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2491"/>
        <w:gridCol w:w="2685"/>
        <w:gridCol w:w="2685"/>
        <w:gridCol w:w="2685"/>
        <w:gridCol w:w="2685"/>
        <w:gridCol w:w="1465"/>
      </w:tblGrid>
      <w:tr w:rsidR="00B960C0" w14:paraId="07A64F80" w14:textId="77777777">
        <w:trPr>
          <w:trHeight w:val="757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B4FA7" w14:textId="77777777" w:rsidR="00B960C0" w:rsidRDefault="00AD64F5">
            <w:pPr>
              <w:spacing w:after="0"/>
              <w:ind w:left="3"/>
              <w:jc w:val="center"/>
            </w:pPr>
            <w:r>
              <w:rPr>
                <w:b/>
                <w:color w:val="565A5C"/>
                <w:sz w:val="18"/>
              </w:rPr>
              <w:t>Criteria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8CFE" w14:textId="77777777" w:rsidR="00B960C0" w:rsidRDefault="00AD64F5">
            <w:pPr>
              <w:spacing w:after="0"/>
              <w:ind w:left="9"/>
              <w:jc w:val="center"/>
            </w:pPr>
            <w:r>
              <w:rPr>
                <w:b/>
                <w:color w:val="565A5C"/>
                <w:sz w:val="18"/>
              </w:rPr>
              <w:t>Exceeds Expectations (100%)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C9F25" w14:textId="77777777" w:rsidR="00B960C0" w:rsidRDefault="00AD64F5">
            <w:pPr>
              <w:spacing w:after="0"/>
              <w:ind w:left="4"/>
              <w:jc w:val="center"/>
            </w:pPr>
            <w:r>
              <w:rPr>
                <w:b/>
                <w:color w:val="565A5C"/>
                <w:sz w:val="18"/>
              </w:rPr>
              <w:t>Meets Expectations (85%)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5B75" w14:textId="77777777" w:rsidR="00B960C0" w:rsidRDefault="00AD64F5">
            <w:pPr>
              <w:spacing w:after="32"/>
              <w:jc w:val="center"/>
            </w:pPr>
            <w:r>
              <w:rPr>
                <w:b/>
                <w:color w:val="565A5C"/>
                <w:sz w:val="18"/>
              </w:rPr>
              <w:t>Partially Meets Expectations</w:t>
            </w:r>
          </w:p>
          <w:p w14:paraId="0A2B6BA7" w14:textId="77777777" w:rsidR="00B960C0" w:rsidRDefault="00AD64F5">
            <w:pPr>
              <w:spacing w:after="0"/>
              <w:jc w:val="center"/>
            </w:pPr>
            <w:r>
              <w:rPr>
                <w:b/>
                <w:color w:val="565A5C"/>
                <w:sz w:val="18"/>
              </w:rPr>
              <w:t>(55%)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D9878" w14:textId="77777777" w:rsidR="00B960C0" w:rsidRDefault="00AD64F5">
            <w:pPr>
              <w:spacing w:after="32"/>
              <w:ind w:right="4"/>
              <w:jc w:val="center"/>
            </w:pPr>
            <w:r>
              <w:rPr>
                <w:b/>
                <w:color w:val="565A5C"/>
                <w:sz w:val="18"/>
              </w:rPr>
              <w:t>Does Not Meet Expectations</w:t>
            </w:r>
          </w:p>
          <w:p w14:paraId="705F1346" w14:textId="77777777" w:rsidR="00B960C0" w:rsidRDefault="00AD64F5">
            <w:pPr>
              <w:spacing w:after="0"/>
              <w:ind w:right="4"/>
              <w:jc w:val="center"/>
            </w:pPr>
            <w:r>
              <w:rPr>
                <w:b/>
                <w:color w:val="565A5C"/>
                <w:sz w:val="18"/>
              </w:rPr>
              <w:t>(0%)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A7362EA" w14:textId="77777777" w:rsidR="00B960C0" w:rsidRDefault="00AD64F5">
            <w:pPr>
              <w:spacing w:after="0"/>
              <w:ind w:right="1"/>
              <w:jc w:val="center"/>
            </w:pPr>
            <w:r>
              <w:rPr>
                <w:b/>
                <w:color w:val="565A5C"/>
                <w:sz w:val="18"/>
              </w:rPr>
              <w:t>Value</w:t>
            </w:r>
          </w:p>
        </w:tc>
      </w:tr>
      <w:tr w:rsidR="00B960C0" w14:paraId="477F18F5" w14:textId="77777777">
        <w:trPr>
          <w:trHeight w:val="1825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A696" w14:textId="77777777" w:rsidR="00B960C0" w:rsidRDefault="00AD64F5">
            <w:pPr>
              <w:spacing w:after="0"/>
              <w:ind w:left="4"/>
              <w:jc w:val="center"/>
            </w:pPr>
            <w:r>
              <w:rPr>
                <w:b/>
                <w:color w:val="565A5C"/>
                <w:sz w:val="18"/>
              </w:rPr>
              <w:t>Clear Communication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8E19" w14:textId="77777777" w:rsidR="00B960C0" w:rsidRDefault="00AD64F5">
            <w:pPr>
              <w:spacing w:after="0"/>
              <w:ind w:left="6"/>
            </w:pPr>
            <w:r>
              <w:rPr>
                <w:color w:val="565A5C"/>
                <w:sz w:val="18"/>
              </w:rPr>
              <w:t>Exceeds expectations with an intentional use of language that promotes a thorough understanding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4B79" w14:textId="77777777" w:rsidR="00B960C0" w:rsidRDefault="00AD64F5">
            <w:pPr>
              <w:spacing w:after="0"/>
              <w:ind w:left="4"/>
            </w:pPr>
            <w:r>
              <w:rPr>
                <w:color w:val="565A5C"/>
                <w:sz w:val="18"/>
              </w:rPr>
              <w:t>Consistently and effectively communicates in an organized way to a specific audience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1422" w14:textId="77777777" w:rsidR="00B960C0" w:rsidRDefault="00AD64F5">
            <w:pPr>
              <w:spacing w:after="0"/>
              <w:ind w:left="2" w:right="11"/>
            </w:pPr>
            <w:r>
              <w:rPr>
                <w:color w:val="565A5C"/>
                <w:sz w:val="18"/>
              </w:rPr>
              <w:t>Shows progress toward meeting expectations, but communication is inconsistent or ineffective in a way that negatively impacts understanding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3883" w14:textId="77777777" w:rsidR="00B960C0" w:rsidRDefault="00AD64F5">
            <w:pPr>
              <w:spacing w:after="0"/>
            </w:pPr>
            <w:r>
              <w:rPr>
                <w:color w:val="565A5C"/>
                <w:sz w:val="18"/>
              </w:rPr>
              <w:t>Shows no evidence of consistent, effective, or organized communication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14:paraId="560CE376" w14:textId="77777777" w:rsidR="00B960C0" w:rsidRDefault="00AD64F5">
            <w:pPr>
              <w:spacing w:after="0"/>
              <w:ind w:right="1"/>
              <w:jc w:val="center"/>
            </w:pPr>
            <w:r>
              <w:rPr>
                <w:color w:val="565A5C"/>
                <w:sz w:val="18"/>
              </w:rPr>
              <w:t>10</w:t>
            </w:r>
          </w:p>
        </w:tc>
      </w:tr>
      <w:tr w:rsidR="00B960C0" w14:paraId="1CA85414" w14:textId="77777777">
        <w:trPr>
          <w:trHeight w:val="490"/>
        </w:trPr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ED48D7" w14:textId="77777777" w:rsidR="00B960C0" w:rsidRDefault="00B960C0"/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105824" w14:textId="77777777" w:rsidR="00B960C0" w:rsidRDefault="00B960C0"/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12369F" w14:textId="77777777" w:rsidR="00B960C0" w:rsidRDefault="00B960C0"/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C62790" w14:textId="77777777" w:rsidR="00B960C0" w:rsidRDefault="00B960C0"/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E882D3" w14:textId="77777777" w:rsidR="00B960C0" w:rsidRDefault="00AD64F5">
            <w:pPr>
              <w:spacing w:after="0"/>
              <w:ind w:right="4"/>
              <w:jc w:val="right"/>
            </w:pPr>
            <w:r>
              <w:rPr>
                <w:b/>
                <w:color w:val="565A5C"/>
                <w:sz w:val="18"/>
              </w:rPr>
              <w:t>Total: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8EFA560" w14:textId="77777777" w:rsidR="00B960C0" w:rsidRDefault="00AD64F5">
            <w:pPr>
              <w:spacing w:after="0"/>
              <w:ind w:right="1"/>
              <w:jc w:val="center"/>
            </w:pPr>
            <w:r>
              <w:rPr>
                <w:color w:val="565A5C"/>
                <w:sz w:val="18"/>
              </w:rPr>
              <w:t>100%</w:t>
            </w:r>
          </w:p>
        </w:tc>
      </w:tr>
    </w:tbl>
    <w:p w14:paraId="00AE5504" w14:textId="77777777" w:rsidR="00B960C0" w:rsidRDefault="00AD64F5">
      <w:pPr>
        <w:tabs>
          <w:tab w:val="right" w:pos="14880"/>
        </w:tabs>
        <w:spacing w:after="0"/>
        <w:ind w:left="-15"/>
      </w:pPr>
      <w:r>
        <w:rPr>
          <w:rFonts w:ascii="Arial" w:eastAsia="Arial" w:hAnsi="Arial" w:cs="Arial"/>
          <w:sz w:val="16"/>
        </w:rPr>
        <w:t>https://learn.snhu.edu/d2l/le/content/2263327/fullscreen/50094543/View</w:t>
      </w:r>
      <w:r>
        <w:rPr>
          <w:rFonts w:ascii="Arial" w:eastAsia="Arial" w:hAnsi="Arial" w:cs="Arial"/>
          <w:sz w:val="16"/>
        </w:rPr>
        <w:tab/>
        <w:t>2/2</w:t>
      </w:r>
    </w:p>
    <w:sectPr w:rsidR="00B960C0">
      <w:pgSz w:w="15840" w:h="12240" w:orient="landscape"/>
      <w:pgMar w:top="334" w:right="480" w:bottom="296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C0"/>
    <w:rsid w:val="009F6FDB"/>
    <w:rsid w:val="00AD64F5"/>
    <w:rsid w:val="00B960C0"/>
    <w:rsid w:val="00E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EE39"/>
  <w15:docId w15:val="{2862DD4D-C2C9-409E-ABC6-75627714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8" w:line="259" w:lineRule="auto"/>
      <w:ind w:left="90"/>
      <w:jc w:val="center"/>
      <w:outlineLvl w:val="0"/>
    </w:pPr>
    <w:rPr>
      <w:rFonts w:ascii="Calibri" w:eastAsia="Calibri" w:hAnsi="Calibri" w:cs="Calibri"/>
      <w:color w:val="262626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62626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hu.ink/StudentGenAIGuide" TargetMode="External"/><Relationship Id="rId13" Type="http://schemas.openxmlformats.org/officeDocument/2006/relationships/hyperlink" Target="https://snhu.ink/CitationAnd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nhu.ink/StudentGenAIGuide" TargetMode="External"/><Relationship Id="rId12" Type="http://schemas.openxmlformats.org/officeDocument/2006/relationships/hyperlink" Target="https://snhu.ink/CitationAndA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nhu.ink/StudentGenAIGuide" TargetMode="External"/><Relationship Id="rId11" Type="http://schemas.openxmlformats.org/officeDocument/2006/relationships/hyperlink" Target="https://snhu.ink/CitationAndAI" TargetMode="External"/><Relationship Id="rId5" Type="http://schemas.openxmlformats.org/officeDocument/2006/relationships/hyperlink" Target="https://app.readspeaker.com/cgi-bin/rsent?customerid=9568&amp;url=https%3A%2F%2Flearn.snhu.edu%2Fcontent%2Fenforced%2F2263327-HIS-319-18510.202651-1%2FShort%2520Paper%2520Guidelines%2520and%2520Rubric.html&amp;lang=en_us&amp;readid=d2l_read_element_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nhu.ink/StudentGenAIGuide" TargetMode="External"/><Relationship Id="rId4" Type="http://schemas.openxmlformats.org/officeDocument/2006/relationships/hyperlink" Target="https://app.readspeaker.com/cgi-bin/rsent?customerid=9568&amp;url=https%3A%2F%2Flearn.snhu.edu%2Fcontent%2Fenforced%2F2263327-HIS-319-18510.202651-1%2FShort%2520Paper%2520Guidelines%2520and%2520Rubric.html&amp;lang=en_us&amp;readid=d2l_read_element_1" TargetMode="External"/><Relationship Id="rId9" Type="http://schemas.openxmlformats.org/officeDocument/2006/relationships/hyperlink" Target="https://snhu.ink/StudentGenAIGuide" TargetMode="External"/><Relationship Id="rId14" Type="http://schemas.openxmlformats.org/officeDocument/2006/relationships/hyperlink" Target="https://snhu.ink/CitationAnd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Paper Guidelines and Rubric - HIS-319-18510-M01 African-American History 2026 C-3 (May - Jun)</dc:title>
  <dc:subject/>
  <dc:creator>Taiya keller</dc:creator>
  <cp:keywords/>
  <cp:lastModifiedBy>Taiya keller</cp:lastModifiedBy>
  <cp:revision>2</cp:revision>
  <dcterms:created xsi:type="dcterms:W3CDTF">2026-04-20T22:59:00Z</dcterms:created>
  <dcterms:modified xsi:type="dcterms:W3CDTF">2026-04-20T22:59:00Z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1c2e06ba-c7ec-4c45-b71d-ad37d841f901</vt:lpwstr>
  </property>
</Properties>
</file>